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FB6CC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FB6CC4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FB6CC4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FB6CC4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FB6CC4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FB6CC4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FB6CC4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FB6CC4">
                    <w:rPr>
                      <w:rFonts w:ascii="Times New Roman" w:hAnsi="Times New Roman"/>
                    </w:rPr>
                    <w:t>7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6A0DCA" w:rsidRDefault="006A0DCA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6A0DCA">
        <w:rPr>
          <w:rFonts w:ascii="Times New Roman" w:hAnsi="Times New Roman"/>
          <w:b/>
          <w:sz w:val="28"/>
          <w:szCs w:val="28"/>
        </w:rPr>
        <w:t>5.3.4 Педагогическая психология, психодиагностика цифровых образовательных сред</w:t>
      </w:r>
    </w:p>
    <w:p w:rsidR="00BC100E" w:rsidRDefault="00BC100E" w:rsidP="00BC100E">
      <w:pPr>
        <w:jc w:val="center"/>
      </w:pP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FB6CC4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lastRenderedPageBreak/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22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6A0DCA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6A0DC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6A0DC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6A0DCA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6A0DCA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A0DCA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A0DC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A0DCA" w:rsidRDefault="006A0DC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проводить научные исследования в области педагогической психологии, представлять их результаты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A0DC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A0DCA" w:rsidRDefault="006A0DC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и готовность использовать полученные научные знания в преподавательской деятельности и при разработке учебно-методического обеспечения по направлению Психологические науки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6A0DCA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6A0DCA" w:rsidRDefault="006A0DCA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осуществлению деятельности по реализации программ учебных курсов по психологическим дисциплинам с использованием инновационных психолого-педагогических и информационно-коммуникационных технологий, обучения и развития личности в условиях цифровой образовательной среды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DE2821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DE2821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DE2821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DE2821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</w:t>
      </w:r>
      <w:r w:rsidRPr="00237511">
        <w:rPr>
          <w:rFonts w:ascii="Times New Roman" w:hAnsi="Times New Roman"/>
          <w:sz w:val="28"/>
          <w:szCs w:val="28"/>
        </w:rPr>
        <w:lastRenderedPageBreak/>
        <w:t>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 xml:space="preserve"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</w:t>
      </w:r>
      <w:r w:rsidRPr="00127093">
        <w:rPr>
          <w:rFonts w:ascii="Times New Roman" w:hAnsi="Times New Roman"/>
          <w:sz w:val="28"/>
          <w:szCs w:val="28"/>
        </w:rPr>
        <w:lastRenderedPageBreak/>
        <w:t>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</w:t>
      </w:r>
      <w:r w:rsidRPr="00593FB5">
        <w:rPr>
          <w:rFonts w:ascii="Times New Roman" w:hAnsi="Times New Roman"/>
          <w:sz w:val="28"/>
          <w:szCs w:val="28"/>
        </w:rPr>
        <w:lastRenderedPageBreak/>
        <w:t xml:space="preserve">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0DCA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DE2821"/>
    <w:rsid w:val="00E269F1"/>
    <w:rsid w:val="00E33C83"/>
    <w:rsid w:val="00E54D97"/>
    <w:rsid w:val="00E721F8"/>
    <w:rsid w:val="00E97E99"/>
    <w:rsid w:val="00EE7468"/>
    <w:rsid w:val="00F24E06"/>
    <w:rsid w:val="00F435F9"/>
    <w:rsid w:val="00F53718"/>
    <w:rsid w:val="00FB499D"/>
    <w:rsid w:val="00FB6CC4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AC0868"/>
  <w15:chartTrackingRefBased/>
  <w15:docId w15:val="{5C0A3AAE-539C-4DAC-9587-C7F8972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uiPriority w:val="99"/>
    <w:semiHidden/>
    <w:unhideWhenUsed/>
    <w:rsid w:val="00DE2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2022-11-14T02:55:00Z</dcterms:created>
  <dcterms:modified xsi:type="dcterms:W3CDTF">2023-04-14T09:15:00Z</dcterms:modified>
</cp:coreProperties>
</file>